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27.08.2014 N 1141</w:t>
              <w:br/>
              <w:t xml:space="preserve">"Об утверждении федерального государственного образовательного стандарта высшего образования по специальности 32.08.14 Бактериология (уровень подготовки кадров высшей квалификации)"</w:t>
              <w:br/>
              <w:t xml:space="preserve">(Зарегистрировано в Минюсте России 28.10.2014 N 34493)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28 октября 2014 г. N 34493</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27 августа 2014 г. N 1141</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32.08.14 БАКТЕРИОЛОГИЯ</w:t>
      </w:r>
    </w:p>
    <w:p>
      <w:pPr>
        <w:pStyle w:val="2"/>
        <w:jc w:val="center"/>
      </w:pPr>
      <w:r>
        <w:rPr>
          <w:sz w:val="24"/>
        </w:rPr>
        <w:t xml:space="preserve">(УРОВЕНЬ ПОДГОТОВКИ КАДРОВ ВЫСШЕЙ КВАЛИФИКАЦИИ)</w:t>
      </w:r>
    </w:p>
    <w:p>
      <w:pPr>
        <w:pStyle w:val="0"/>
        <w:jc w:val="both"/>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1"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32.08.14 Бактериология (уровень подготовки кадров высшей квалификации).</w:t>
      </w:r>
    </w:p>
    <w:p>
      <w:pPr>
        <w:pStyle w:val="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27 августа 2014 г. N 1141</w:t>
      </w:r>
    </w:p>
    <w:p>
      <w:pPr>
        <w:pStyle w:val="0"/>
        <w:jc w:val="both"/>
      </w:pPr>
      <w:r>
        <w:rPr>
          <w:sz w:val="24"/>
        </w:rPr>
      </w:r>
    </w:p>
    <w:bookmarkStart w:id="31" w:name="P31"/>
    <w:bookmarkEnd w:id="31"/>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32.08.14 БАКТЕРИОЛОГИЯ</w:t>
      </w:r>
    </w:p>
    <w:p>
      <w:pPr>
        <w:pStyle w:val="0"/>
        <w:jc w:val="both"/>
      </w:pPr>
      <w:r>
        <w:rPr>
          <w:sz w:val="24"/>
        </w:rPr>
      </w:r>
    </w:p>
    <w:p>
      <w:pPr>
        <w:pStyle w:val="0"/>
        <w:outlineLvl w:val="1"/>
        <w:jc w:val="center"/>
      </w:pPr>
      <w:r>
        <w:rPr>
          <w:sz w:val="24"/>
        </w:rPr>
        <w:t xml:space="preserve">I. ОБЛАСТЬ ПРИМЕНЕНИЯ</w:t>
      </w:r>
    </w:p>
    <w:p>
      <w:pPr>
        <w:pStyle w:val="0"/>
        <w:jc w:val="both"/>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32.08.14 Бактериология (далее соответственно - программа ординатуры, специальность).</w:t>
      </w:r>
    </w:p>
    <w:p>
      <w:pPr>
        <w:pStyle w:val="0"/>
        <w:jc w:val="both"/>
      </w:pPr>
      <w:r>
        <w:rPr>
          <w:sz w:val="24"/>
        </w:rPr>
      </w:r>
    </w:p>
    <w:p>
      <w:pPr>
        <w:pStyle w:val="0"/>
        <w:outlineLvl w:val="1"/>
        <w:jc w:val="center"/>
      </w:pPr>
      <w:r>
        <w:rPr>
          <w:sz w:val="24"/>
        </w:rPr>
        <w:t xml:space="preserve">II. ИСПОЛЬЗУЕМЫЕ СОКРАЩЕНИЯ</w:t>
      </w:r>
    </w:p>
    <w:p>
      <w:pPr>
        <w:pStyle w:val="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 УК - универсальные компетенции; 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jc w:val="both"/>
      </w:pPr>
      <w:r>
        <w:rPr>
          <w:sz w:val="24"/>
        </w:rPr>
      </w:r>
    </w:p>
    <w:p>
      <w:pPr>
        <w:pStyle w:val="0"/>
        <w:outlineLvl w:val="1"/>
        <w:jc w:val="center"/>
      </w:pPr>
      <w:r>
        <w:rPr>
          <w:sz w:val="24"/>
        </w:rPr>
        <w:t xml:space="preserve">III. ХАРАКТЕРИСТИКА СПЕЦИАЛЬНОСТИ</w:t>
      </w:r>
    </w:p>
    <w:p>
      <w:pPr>
        <w:pStyle w:val="0"/>
        <w:jc w:val="both"/>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в части обеспечения мер санитарно-эпидемиологического (профилактического) характера, направленных на санитарно-эпидемиологическое благополучие населения.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(далее - человек);</w:t>
      </w:r>
    </w:p>
    <w:p>
      <w:pPr>
        <w:pStyle w:val="0"/>
        <w:spacing w:before="240" w:line-rule="auto"/>
        <w:ind w:firstLine="540"/>
        <w:jc w:val="both"/>
      </w:pPr>
      <w:r>
        <w:rPr>
          <w:sz w:val="24"/>
        </w:rPr>
        <w:t xml:space="preserve">среда обитания человека;</w:t>
      </w:r>
    </w:p>
    <w:p>
      <w:pPr>
        <w:pStyle w:val="0"/>
        <w:spacing w:before="240" w:line-rule="auto"/>
        <w:ind w:firstLine="540"/>
        <w:jc w:val="both"/>
      </w:pPr>
      <w:r>
        <w:rPr>
          <w:sz w:val="24"/>
        </w:rPr>
        <w:t xml:space="preserve">юридические лица, индивидуальные предприниматели;</w:t>
      </w:r>
    </w:p>
    <w:p>
      <w:pPr>
        <w:pStyle w:val="0"/>
        <w:spacing w:before="240" w:line-rule="auto"/>
        <w:ind w:firstLine="540"/>
        <w:jc w:val="both"/>
      </w:pPr>
      <w:r>
        <w:rPr>
          <w:sz w:val="24"/>
        </w:rPr>
        <w:t xml:space="preserve">совокупность средств и технологий, направленных на обеспечение санитарно-эпидемиологического благополучия населения, сохранение и улучшение его здоровья.</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производственно-технологическая деятельность;</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производственно-технологическая деятельность:</w:t>
      </w:r>
    </w:p>
    <w:p>
      <w:pPr>
        <w:pStyle w:val="0"/>
        <w:spacing w:before="240" w:line-rule="auto"/>
        <w:ind w:firstLine="540"/>
        <w:jc w:val="both"/>
      </w:pPr>
      <w:r>
        <w:rPr>
          <w:sz w:val="24"/>
        </w:rPr>
        <w:t xml:space="preserve">осуществление бактериологических лабораторных исследований, предусмотренных для обеспечения требований санитарно-эпидемиологического благополучия населения;</w:t>
      </w:r>
    </w:p>
    <w:p>
      <w:pPr>
        <w:pStyle w:val="0"/>
        <w:spacing w:before="240" w:line-rule="auto"/>
        <w:ind w:firstLine="540"/>
        <w:jc w:val="both"/>
      </w:pPr>
      <w:r>
        <w:rPr>
          <w:sz w:val="24"/>
        </w:rPr>
        <w:t xml:space="preserve">проведение санитарно-противоэпидемических (профилактических) мероприятий, направленных на предупреждение возникновения инфекционных заболеваний и массовых неинфекционных заболеваний (отравлений);</w:t>
      </w:r>
    </w:p>
    <w:p>
      <w:pPr>
        <w:pStyle w:val="0"/>
        <w:spacing w:before="240" w:line-rule="auto"/>
        <w:ind w:firstLine="540"/>
        <w:jc w:val="both"/>
      </w:pPr>
      <w:r>
        <w:rPr>
          <w:sz w:val="24"/>
        </w:rPr>
        <w:t xml:space="preserve">проведение сбора и медико-статистического анализа информации о состоянии санитарно-эпидемиологической обстановки;</w:t>
      </w:r>
    </w:p>
    <w:p>
      <w:pPr>
        <w:pStyle w:val="0"/>
        <w:spacing w:before="240" w:line-rule="auto"/>
        <w:ind w:firstLine="540"/>
        <w:jc w:val="both"/>
      </w:pPr>
      <w:r>
        <w:rPr>
          <w:sz w:val="24"/>
        </w:rPr>
        <w:t xml:space="preserve">оценка состояния здоровья населения;</w:t>
      </w:r>
    </w:p>
    <w:p>
      <w:pPr>
        <w:pStyle w:val="0"/>
        <w:spacing w:before="240" w:line-rule="auto"/>
        <w:ind w:firstLine="540"/>
        <w:jc w:val="both"/>
      </w:pPr>
      <w:r>
        <w:rPr>
          <w:sz w:val="24"/>
        </w:rPr>
        <w:t xml:space="preserve">оценка состояния среды обитания человека;</w:t>
      </w:r>
    </w:p>
    <w:p>
      <w:pPr>
        <w:pStyle w:val="0"/>
        <w:spacing w:before="240" w:line-rule="auto"/>
        <w:ind w:firstLine="540"/>
        <w:jc w:val="both"/>
      </w:pPr>
      <w:r>
        <w:rPr>
          <w:sz w:val="24"/>
        </w:rPr>
        <w:t xml:space="preserve">проведение диагностических исследований различных групп населения, предусмотренных законодательством в сфере санитарно-эпидемиологического благополучия для обеспечения безопасной среды обитания человека;</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гигиеническое воспитание и пропаганда здорового образа жизни;</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организация санитарно-противоэпидемических (профилактических) мероприятий, в том числе в условиях чрезвычайных ситуаций;</w:t>
      </w:r>
    </w:p>
    <w:p>
      <w:pPr>
        <w:pStyle w:val="0"/>
        <w:spacing w:before="240" w:line-rule="auto"/>
        <w:ind w:firstLine="540"/>
        <w:jc w:val="both"/>
      </w:pPr>
      <w:r>
        <w:rPr>
          <w:sz w:val="24"/>
        </w:rPr>
        <w:t xml:space="preserve">организация труда персонала в организациях и их структурных подразделениях, осуществляющих свою деятельность в целях обеспечения санитарно-эпидемиологического благополучия населения с учетом требований техники безопасности и охраны труда;</w:t>
      </w:r>
    </w:p>
    <w:p>
      <w:pPr>
        <w:pStyle w:val="0"/>
        <w:spacing w:before="240" w:line-rule="auto"/>
        <w:ind w:firstLine="540"/>
        <w:jc w:val="both"/>
      </w:pPr>
      <w:r>
        <w:rPr>
          <w:sz w:val="24"/>
        </w:rPr>
        <w:t xml:space="preserve">ведение документации, предусмотренной для обеспечения санитарно-эпидемиологического благополучия населения;</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производственно-технологическая деятельность:</w:t>
      </w:r>
    </w:p>
    <w:p>
      <w:pPr>
        <w:pStyle w:val="0"/>
        <w:spacing w:before="240" w:line-rule="auto"/>
        <w:ind w:firstLine="540"/>
        <w:jc w:val="both"/>
      </w:pPr>
      <w:r>
        <w:rPr>
          <w:sz w:val="24"/>
        </w:rPr>
        <w:t xml:space="preserve">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 (ПК-1);</w:t>
      </w:r>
    </w:p>
    <w:p>
      <w:pPr>
        <w:pStyle w:val="0"/>
        <w:spacing w:before="240" w:line-rule="auto"/>
        <w:ind w:firstLine="540"/>
        <w:jc w:val="both"/>
      </w:pPr>
      <w:r>
        <w:rPr>
          <w:sz w:val="24"/>
        </w:rPr>
        <w:t xml:space="preserve">готовность к проведению бактериологических лабораторных исследований и интерпретации их результатов (ПК-2);</w:t>
      </w:r>
    </w:p>
    <w:p>
      <w:pPr>
        <w:pStyle w:val="0"/>
        <w:spacing w:before="240" w:line-rule="auto"/>
        <w:ind w:firstLine="540"/>
        <w:jc w:val="both"/>
      </w:pPr>
      <w:r>
        <w:rPr>
          <w:sz w:val="24"/>
        </w:rPr>
        <w:t xml:space="preserve">готовность к применению специализированного оборудования, предусмотренного для использования в профессиональной сфере (ПК-3);</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заболеваний (ПК-4);</w:t>
      </w:r>
    </w:p>
    <w:p>
      <w:pPr>
        <w:pStyle w:val="0"/>
        <w:spacing w:before="240" w:line-rule="auto"/>
        <w:ind w:firstLine="540"/>
        <w:jc w:val="both"/>
      </w:pPr>
      <w:r>
        <w:rPr>
          <w:sz w:val="24"/>
        </w:rPr>
        <w:t xml:space="preserve">готовность к санитарно-просветительской деятельности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 (ПК-5);</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использованию основ экономических и правовых знаний в профессиональной деятельности (ПК-6);</w:t>
      </w:r>
    </w:p>
    <w:p>
      <w:pPr>
        <w:pStyle w:val="0"/>
        <w:spacing w:before="240" w:line-rule="auto"/>
        <w:ind w:firstLine="540"/>
        <w:jc w:val="both"/>
      </w:pPr>
      <w:r>
        <w:rPr>
          <w:sz w:val="24"/>
        </w:rPr>
        <w:t xml:space="preserve">готовность к применению основных принципов управления в профессиональной сфере (ПК-7);</w:t>
      </w:r>
    </w:p>
    <w:p>
      <w:pPr>
        <w:pStyle w:val="0"/>
        <w:spacing w:before="240" w:line-rule="auto"/>
        <w:ind w:firstLine="540"/>
        <w:jc w:val="both"/>
      </w:pPr>
      <w:r>
        <w:rPr>
          <w:sz w:val="24"/>
        </w:rPr>
        <w:t xml:space="preserve">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 (ПК-8).</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требовании соответствующих примерных основных образовательных программ.</w:t>
      </w:r>
    </w:p>
    <w:p>
      <w:pPr>
        <w:pStyle w:val="0"/>
        <w:jc w:val="both"/>
      </w:pPr>
      <w:r>
        <w:rPr>
          <w:sz w:val="24"/>
        </w:rPr>
      </w:r>
    </w:p>
    <w:p>
      <w:pPr>
        <w:pStyle w:val="0"/>
        <w:outlineLvl w:val="1"/>
        <w:jc w:val="center"/>
      </w:pPr>
      <w:r>
        <w:rPr>
          <w:sz w:val="24"/>
        </w:rPr>
        <w:t xml:space="preserve">VI. ТРЕБОВАНИЯ К СТРУКТУРЕ ПРОГРАММЫ ОРДИНАТУРЫ</w:t>
      </w:r>
    </w:p>
    <w:p>
      <w:pPr>
        <w:pStyle w:val="0"/>
        <w:jc w:val="both"/>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hyperlink w:history="0" w:anchor="P133" w:tooltip="Блок 1">
        <w:r>
          <w:rPr>
            <w:sz w:val="24"/>
            <w:color w:val="0000ff"/>
          </w:rPr>
          <w:t xml:space="preserve">Блок 1</w:t>
        </w:r>
      </w:hyperlink>
      <w:r>
        <w:rPr>
          <w:sz w:val="24"/>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hyperlink w:history="0" w:anchor="P141" w:tooltip="Блок 2">
        <w:r>
          <w:rPr>
            <w:sz w:val="24"/>
            <w:color w:val="0000ff"/>
          </w:rPr>
          <w:t xml:space="preserve">Блок 2</w:t>
        </w:r>
      </w:hyperlink>
      <w:r>
        <w:rPr>
          <w:sz w:val="24"/>
        </w:rPr>
        <w:t xml:space="preserve"> "Практики", относящийся как к базовой части программы, так и к ее вариативной части.</w:t>
      </w:r>
    </w:p>
    <w:p>
      <w:pPr>
        <w:pStyle w:val="0"/>
        <w:spacing w:before="240" w:line-rule="auto"/>
        <w:ind w:firstLine="540"/>
        <w:jc w:val="both"/>
      </w:pPr>
      <w:hyperlink w:history="0" w:anchor="P148" w:tooltip="Блок 3">
        <w:r>
          <w:rPr>
            <w:sz w:val="24"/>
            <w:color w:val="0000ff"/>
          </w:rPr>
          <w:t xml:space="preserve">Блок 3</w:t>
        </w:r>
      </w:hyperlink>
      <w:r>
        <w:rPr>
          <w:sz w:val="24"/>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"Врач-бактериолог".</w:t>
      </w:r>
    </w:p>
    <w:p>
      <w:pPr>
        <w:pStyle w:val="0"/>
        <w:jc w:val="both"/>
      </w:pPr>
      <w:r>
        <w:rPr>
          <w:sz w:val="24"/>
        </w:rPr>
      </w:r>
    </w:p>
    <w:p>
      <w:pPr>
        <w:pStyle w:val="0"/>
        <w:outlineLvl w:val="2"/>
        <w:jc w:val="center"/>
      </w:pPr>
      <w:r>
        <w:rPr>
          <w:sz w:val="24"/>
        </w:rPr>
        <w:t xml:space="preserve">Структура программы ординатуры</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50"/>
        <w:gridCol w:w="5452"/>
        <w:gridCol w:w="2641"/>
      </w:tblGrid>
      <w:tr>
        <w:tc>
          <w:tcPr>
            <w:gridSpan w:val="2"/>
            <w:tcW w:w="6902" w:type="dxa"/>
          </w:tcPr>
          <w:p>
            <w:pPr>
              <w:pStyle w:val="0"/>
              <w:jc w:val="center"/>
            </w:pPr>
            <w:r>
              <w:rPr>
                <w:sz w:val="24"/>
              </w:rPr>
              <w:t xml:space="preserve">Структура программы ординатуры</w:t>
            </w:r>
          </w:p>
        </w:tc>
        <w:tc>
          <w:tcPr>
            <w:tcW w:w="2641" w:type="dxa"/>
          </w:tcPr>
          <w:p>
            <w:pPr>
              <w:pStyle w:val="0"/>
              <w:jc w:val="center"/>
            </w:pPr>
            <w:r>
              <w:rPr>
                <w:sz w:val="24"/>
              </w:rPr>
              <w:t xml:space="preserve">Объем программы ординатуры в з.е.</w:t>
            </w:r>
          </w:p>
        </w:tc>
      </w:tr>
      <w:tr>
        <w:tc>
          <w:tcPr>
            <w:tcW w:w="1450" w:type="dxa"/>
          </w:tcPr>
          <w:bookmarkStart w:id="133" w:name="P133"/>
          <w:bookmarkEnd w:id="133"/>
          <w:p>
            <w:pPr>
              <w:pStyle w:val="0"/>
            </w:pPr>
            <w:r>
              <w:rPr>
                <w:sz w:val="24"/>
              </w:rPr>
              <w:t xml:space="preserve">Блок 1</w:t>
            </w:r>
          </w:p>
        </w:tc>
        <w:tc>
          <w:tcPr>
            <w:tcW w:w="5452" w:type="dxa"/>
          </w:tcPr>
          <w:p>
            <w:pPr>
              <w:pStyle w:val="0"/>
            </w:pPr>
            <w:r>
              <w:rPr>
                <w:sz w:val="24"/>
              </w:rPr>
              <w:t xml:space="preserve">Дисциплины (модули)</w:t>
            </w:r>
          </w:p>
        </w:tc>
        <w:tc>
          <w:tcPr>
            <w:tcW w:w="2641" w:type="dxa"/>
          </w:tcPr>
          <w:p>
            <w:pPr>
              <w:pStyle w:val="0"/>
              <w:jc w:val="center"/>
            </w:pPr>
            <w:r>
              <w:rPr>
                <w:sz w:val="24"/>
              </w:rPr>
              <w:t xml:space="preserve">42 - 48</w:t>
            </w:r>
          </w:p>
        </w:tc>
      </w:tr>
      <w:tr>
        <w:tc>
          <w:tcPr>
            <w:tcW w:w="1450" w:type="dxa"/>
            <w:vMerge w:val="restart"/>
          </w:tcPr>
          <w:p>
            <w:pPr>
              <w:pStyle w:val="0"/>
            </w:pPr>
            <w:r>
              <w:rPr>
                <w:sz w:val="24"/>
              </w:rPr>
            </w:r>
          </w:p>
        </w:tc>
        <w:tc>
          <w:tcPr>
            <w:tcW w:w="5452" w:type="dxa"/>
          </w:tcPr>
          <w:bookmarkStart w:id="137" w:name="P137"/>
          <w:bookmarkEnd w:id="137"/>
          <w:p>
            <w:pPr>
              <w:pStyle w:val="0"/>
            </w:pPr>
            <w:r>
              <w:rPr>
                <w:sz w:val="24"/>
              </w:rPr>
              <w:t xml:space="preserve">Базовая часть</w:t>
            </w:r>
          </w:p>
        </w:tc>
        <w:tc>
          <w:tcPr>
            <w:tcW w:w="2641" w:type="dxa"/>
          </w:tcPr>
          <w:p>
            <w:pPr>
              <w:pStyle w:val="0"/>
              <w:jc w:val="center"/>
            </w:pPr>
            <w:r>
              <w:rPr>
                <w:sz w:val="24"/>
              </w:rPr>
              <w:t xml:space="preserve">33 - 39</w:t>
            </w:r>
          </w:p>
        </w:tc>
      </w:tr>
      <w:tr>
        <w:tc>
          <w:tcPr>
            <w:vMerge w:val="continue"/>
          </w:tcPr>
          <w:p/>
        </w:tc>
        <w:tc>
          <w:tcPr>
            <w:tcW w:w="5452" w:type="dxa"/>
          </w:tcPr>
          <w:bookmarkStart w:id="139" w:name="P139"/>
          <w:bookmarkEnd w:id="139"/>
          <w:p>
            <w:pPr>
              <w:pStyle w:val="0"/>
            </w:pPr>
            <w:r>
              <w:rPr>
                <w:sz w:val="24"/>
              </w:rPr>
              <w:t xml:space="preserve">Вариативная часть</w:t>
            </w:r>
          </w:p>
        </w:tc>
        <w:tc>
          <w:tcPr>
            <w:tcW w:w="2641" w:type="dxa"/>
          </w:tcPr>
          <w:p>
            <w:pPr>
              <w:pStyle w:val="0"/>
              <w:jc w:val="center"/>
            </w:pPr>
            <w:r>
              <w:rPr>
                <w:sz w:val="24"/>
              </w:rPr>
              <w:t xml:space="preserve">6 - 12</w:t>
            </w:r>
          </w:p>
        </w:tc>
      </w:tr>
      <w:tr>
        <w:tc>
          <w:tcPr>
            <w:tcW w:w="1450" w:type="dxa"/>
            <w:vMerge w:val="restart"/>
          </w:tcPr>
          <w:bookmarkStart w:id="141" w:name="P141"/>
          <w:bookmarkEnd w:id="141"/>
          <w:p>
            <w:pPr>
              <w:pStyle w:val="0"/>
            </w:pPr>
            <w:r>
              <w:rPr>
                <w:sz w:val="24"/>
              </w:rPr>
              <w:t xml:space="preserve">Блок 2</w:t>
            </w:r>
          </w:p>
        </w:tc>
        <w:tc>
          <w:tcPr>
            <w:tcW w:w="5452" w:type="dxa"/>
          </w:tcPr>
          <w:p>
            <w:pPr>
              <w:pStyle w:val="0"/>
            </w:pPr>
            <w:r>
              <w:rPr>
                <w:sz w:val="24"/>
              </w:rPr>
              <w:t xml:space="preserve">Практики</w:t>
            </w:r>
          </w:p>
        </w:tc>
        <w:tc>
          <w:tcPr>
            <w:tcW w:w="2641" w:type="dxa"/>
          </w:tcPr>
          <w:p>
            <w:pPr>
              <w:pStyle w:val="0"/>
              <w:jc w:val="center"/>
            </w:pPr>
            <w:r>
              <w:rPr>
                <w:sz w:val="24"/>
              </w:rPr>
              <w:t xml:space="preserve">69 - 75</w:t>
            </w:r>
          </w:p>
        </w:tc>
      </w:tr>
      <w:tr>
        <w:tc>
          <w:tcPr>
            <w:vMerge w:val="continue"/>
          </w:tcPr>
          <w:p/>
        </w:tc>
        <w:tc>
          <w:tcPr>
            <w:tcW w:w="5452" w:type="dxa"/>
          </w:tcPr>
          <w:p>
            <w:pPr>
              <w:pStyle w:val="0"/>
            </w:pPr>
            <w:r>
              <w:rPr>
                <w:sz w:val="24"/>
              </w:rPr>
              <w:t xml:space="preserve">Базовая часть</w:t>
            </w:r>
          </w:p>
        </w:tc>
        <w:tc>
          <w:tcPr>
            <w:tcW w:w="2641" w:type="dxa"/>
          </w:tcPr>
          <w:p>
            <w:pPr>
              <w:pStyle w:val="0"/>
              <w:jc w:val="center"/>
            </w:pPr>
            <w:r>
              <w:rPr>
                <w:sz w:val="24"/>
              </w:rPr>
              <w:t xml:space="preserve">60 - 66</w:t>
            </w:r>
          </w:p>
        </w:tc>
      </w:tr>
      <w:tr>
        <w:tc>
          <w:tcPr>
            <w:vMerge w:val="continue"/>
          </w:tcPr>
          <w:p/>
        </w:tc>
        <w:tc>
          <w:tcPr>
            <w:tcW w:w="5452" w:type="dxa"/>
          </w:tcPr>
          <w:p>
            <w:pPr>
              <w:pStyle w:val="0"/>
            </w:pPr>
            <w:r>
              <w:rPr>
                <w:sz w:val="24"/>
              </w:rPr>
              <w:t xml:space="preserve">Вариативная часть</w:t>
            </w:r>
          </w:p>
        </w:tc>
        <w:tc>
          <w:tcPr>
            <w:tcW w:w="2641" w:type="dxa"/>
          </w:tcPr>
          <w:p>
            <w:pPr>
              <w:pStyle w:val="0"/>
              <w:jc w:val="center"/>
            </w:pPr>
            <w:r>
              <w:rPr>
                <w:sz w:val="24"/>
              </w:rPr>
              <w:t xml:space="preserve">6 - 12</w:t>
            </w:r>
          </w:p>
        </w:tc>
      </w:tr>
      <w:tr>
        <w:tc>
          <w:tcPr>
            <w:tcW w:w="1450" w:type="dxa"/>
            <w:vMerge w:val="restart"/>
          </w:tcPr>
          <w:bookmarkStart w:id="148" w:name="P148"/>
          <w:bookmarkEnd w:id="148"/>
          <w:p>
            <w:pPr>
              <w:pStyle w:val="0"/>
            </w:pPr>
            <w:r>
              <w:rPr>
                <w:sz w:val="24"/>
              </w:rPr>
              <w:t xml:space="preserve">Блок 3</w:t>
            </w:r>
          </w:p>
        </w:tc>
        <w:tc>
          <w:tcPr>
            <w:tcW w:w="5452" w:type="dxa"/>
          </w:tcPr>
          <w:p>
            <w:pPr>
              <w:pStyle w:val="0"/>
            </w:pPr>
            <w:r>
              <w:rPr>
                <w:sz w:val="24"/>
              </w:rPr>
              <w:t xml:space="preserve">Государственная итоговая аттестация</w:t>
            </w:r>
          </w:p>
        </w:tc>
        <w:tc>
          <w:tcPr>
            <w:tcW w:w="2641" w:type="dxa"/>
          </w:tcPr>
          <w:p>
            <w:pPr>
              <w:pStyle w:val="0"/>
              <w:jc w:val="center"/>
            </w:pPr>
            <w:r>
              <w:rPr>
                <w:sz w:val="24"/>
              </w:rPr>
              <w:t xml:space="preserve">3</w:t>
            </w:r>
          </w:p>
        </w:tc>
      </w:tr>
      <w:tr>
        <w:tc>
          <w:tcPr>
            <w:vMerge w:val="continue"/>
          </w:tcPr>
          <w:p/>
        </w:tc>
        <w:tc>
          <w:tcPr>
            <w:tcW w:w="5452" w:type="dxa"/>
          </w:tcPr>
          <w:p>
            <w:pPr>
              <w:pStyle w:val="0"/>
            </w:pPr>
            <w:r>
              <w:rPr>
                <w:sz w:val="24"/>
              </w:rPr>
              <w:t xml:space="preserve">Базовая часть</w:t>
            </w:r>
          </w:p>
        </w:tc>
        <w:tc>
          <w:tcPr>
            <w:tcW w:w="2641" w:type="dxa"/>
          </w:tcPr>
          <w:p>
            <w:pPr>
              <w:pStyle w:val="0"/>
              <w:jc w:val="center"/>
            </w:pPr>
            <w:r>
              <w:rPr>
                <w:sz w:val="24"/>
              </w:rPr>
              <w:t xml:space="preserve">3</w:t>
            </w:r>
          </w:p>
        </w:tc>
      </w:tr>
      <w:tr>
        <w:tc>
          <w:tcPr>
            <w:gridSpan w:val="2"/>
            <w:tcW w:w="6902" w:type="dxa"/>
          </w:tcPr>
          <w:p>
            <w:pPr>
              <w:pStyle w:val="0"/>
            </w:pPr>
            <w:r>
              <w:rPr>
                <w:sz w:val="24"/>
              </w:rPr>
              <w:t xml:space="preserve">Объем программы ординатуры</w:t>
            </w:r>
          </w:p>
        </w:tc>
        <w:tc>
          <w:tcPr>
            <w:tcW w:w="2641" w:type="dxa"/>
          </w:tcPr>
          <w:p>
            <w:pPr>
              <w:pStyle w:val="0"/>
              <w:jc w:val="center"/>
            </w:pPr>
            <w:r>
              <w:rPr>
                <w:sz w:val="24"/>
              </w:rPr>
              <w:t xml:space="preserve">120</w:t>
            </w:r>
          </w:p>
        </w:tc>
      </w:tr>
    </w:tbl>
    <w:p>
      <w:pPr>
        <w:pStyle w:val="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w:t>
      </w:r>
      <w:hyperlink w:history="0" w:anchor="P137" w:tooltip="Базовая часть">
        <w:r>
          <w:rPr>
            <w:sz w:val="24"/>
            <w:color w:val="0000ff"/>
          </w:rPr>
          <w:t xml:space="preserve">базовой части</w:t>
        </w:r>
      </w:hyperlink>
      <w:r>
        <w:rPr>
          <w:sz w:val="24"/>
        </w:rPr>
        <w:t xml:space="preserve">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w:t>
      </w:r>
      <w:hyperlink w:history="0" w:anchor="P141" w:tooltip="Блок 2">
        <w:r>
          <w:rPr>
            <w:sz w:val="24"/>
            <w:color w:val="0000ff"/>
          </w:rPr>
          <w:t xml:space="preserve">Блок 2</w:t>
        </w:r>
      </w:hyperlink>
      <w:r>
        <w:rPr>
          <w:sz w:val="24"/>
        </w:rPr>
        <w:t xml:space="preserve">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w:t>
      </w:r>
      <w:hyperlink w:history="0" w:anchor="P148" w:tooltip="Блок 3">
        <w:r>
          <w:rPr>
            <w:sz w:val="24"/>
            <w:color w:val="0000ff"/>
          </w:rPr>
          <w:t xml:space="preserve">Блок 3</w:t>
        </w:r>
      </w:hyperlink>
      <w:r>
        <w:rPr>
          <w:sz w:val="24"/>
        </w:rPr>
        <w:t xml:space="preserve">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hyperlink w:history="0" w:anchor="P139" w:tooltip="Вариативная часть">
        <w:r>
          <w:rPr>
            <w:sz w:val="24"/>
            <w:color w:val="0000ff"/>
          </w:rPr>
          <w:t xml:space="preserve">вариативной части</w:t>
        </w:r>
      </w:hyperlink>
      <w:r>
        <w:rPr>
          <w:sz w:val="24"/>
        </w:rPr>
        <w:t xml:space="preserve"> Блока 1 "Дисциплины (модули)".</w:t>
      </w:r>
    </w:p>
    <w:p>
      <w:pPr>
        <w:pStyle w:val="0"/>
        <w:spacing w:before="240" w:line-rule="auto"/>
        <w:ind w:firstLine="540"/>
        <w:jc w:val="both"/>
      </w:pPr>
      <w:r>
        <w:rPr>
          <w:sz w:val="24"/>
        </w:rPr>
        <w:t xml:space="preserve">6.9. Количество часов, отведенных на занятия лекционного типа в целом по </w:t>
      </w:r>
      <w:hyperlink w:history="0" w:anchor="P133" w:tooltip="Блок 1">
        <w:r>
          <w:rPr>
            <w:sz w:val="24"/>
            <w:color w:val="0000ff"/>
          </w:rPr>
          <w:t xml:space="preserve">Блоку 1</w:t>
        </w:r>
      </w:hyperlink>
      <w:r>
        <w:rPr>
          <w:sz w:val="24"/>
        </w:rPr>
        <w:t xml:space="preserve">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2"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11, ст. 1658; N 23, ст. 2870; N 27, ст. 3479; N 52, ст. 6961, ст. 6963; 2014, N 19, ст. 2302; N 30, ст. 4223, ст. 4243), Федеральный </w:t>
      </w:r>
      <w:hyperlink w:history="0" r:id="rId13"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4"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разделе</w:t>
        </w:r>
      </w:hyperlink>
      <w:r>
        <w:rPr>
          <w:sz w:val="24"/>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jc w:val="both"/>
      </w:pPr>
      <w:r>
        <w:rPr>
          <w:sz w:val="24"/>
        </w:rPr>
      </w:r>
    </w:p>
    <w:p>
      <w:pPr>
        <w:pStyle w:val="0"/>
        <w:outlineLvl w:val="2"/>
        <w:ind w:firstLine="540"/>
        <w:jc w:val="both"/>
      </w:pPr>
      <w:r>
        <w:rPr>
          <w:sz w:val="24"/>
        </w:rPr>
        <w:t xml:space="preserve">7.2. Требования к кадровым условиям реализации программ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лаборатории, оснащенные специализированным оборудованием (микроскоп, термостат, автоклав, набор химической посуды, массоизмерительное оборудование, гомогенизатор, центрифуга, сушильный шкаф, ареометр, бокс-штатив, груша резиновая, деионизатор, диспенсор, дистиллятор, дозатор с наконечниками, колориметр, pH-метр, ламинарный бокс, мерная пипетка, морозильник, пипетка Пастеровская, планшет для микротитрования, питательные среды, необходимые для культивирования микроорганизмов, принадлежность для забора биоматериала и смывов с поверхности, пробоотборник, спектрофотометр, титратор, фотоэлектроколориметр, холодильник, чашка Петри, шейкер, шпатель и петля микробиологические)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6"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27.08.2014 N 1141</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LAW&amp;n=348537&amp;date=28.04.2025" TargetMode = "External"/>
	<Relationship Id="rId12" Type="http://schemas.openxmlformats.org/officeDocument/2006/relationships/hyperlink" Target="https://login.consultant.ru/link/?req=doc&amp;base=LAW&amp;n=483355&amp;date=28.04.2025" TargetMode = "External"/>
	<Relationship Id="rId13" Type="http://schemas.openxmlformats.org/officeDocument/2006/relationships/hyperlink" Target="https://login.consultant.ru/link/?req=doc&amp;base=LAW&amp;n=482686&amp;date=28.04.2025" TargetMode = "External"/>
	<Relationship Id="rId14" Type="http://schemas.openxmlformats.org/officeDocument/2006/relationships/hyperlink" Target="https://login.consultant.ru/link/?req=doc&amp;base=LAW&amp;n=440481&amp;date=28.04.2025&amp;dst=100010&amp;field=134" TargetMode = "External"/>
	<Relationship Id="rId15" Type="http://schemas.openxmlformats.org/officeDocument/2006/relationships/hyperlink" Target="https://login.consultant.ru/link/?req=doc&amp;base=LAW&amp;n=128754&amp;date=28.04.2025" TargetMode = "External"/>
	<Relationship Id="rId16"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27.08.2014 N 1141
"Об утверждении федерального государственного образовательного стандарта высшего образования по специальности 32.08.14 Бактериология (уровень подготовки кадров высшей квалификации)"
(Зарегистрировано в Минюсте России 28.10.2014 N 34493)</dc:title>
  <dcterms:created xsi:type="dcterms:W3CDTF">2025-04-28T05:45:58Z</dcterms:created>
</cp:coreProperties>
</file>